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5EEAB">
      <w:pPr>
        <w:jc w:val="center"/>
        <w:rPr>
          <w:rFonts w:hint="eastAsia" w:ascii="方正姚体" w:hAnsi="黑体" w:eastAsia="方正姚体"/>
          <w:b/>
          <w:color w:val="FF0000"/>
          <w:sz w:val="72"/>
          <w:szCs w:val="72"/>
        </w:rPr>
      </w:pPr>
      <w:r>
        <w:rPr>
          <w:rFonts w:hint="eastAsia" w:ascii="方正姚体" w:hAnsi="黑体" w:eastAsia="方正姚体"/>
          <w:b/>
          <w:color w:val="FF0000"/>
          <w:sz w:val="72"/>
          <w:szCs w:val="72"/>
        </w:rPr>
        <w:t>辽宁理工职业大学文件</w:t>
      </w:r>
    </w:p>
    <w:p w14:paraId="3191C5C8">
      <w:pPr>
        <w:jc w:val="center"/>
        <w:rPr>
          <w:rFonts w:hint="eastAsia" w:ascii="方正姚体" w:hAnsi="黑体" w:eastAsia="方正姚体"/>
          <w:b/>
          <w:color w:val="FF0000"/>
          <w:sz w:val="28"/>
          <w:szCs w:val="28"/>
        </w:rPr>
      </w:pPr>
    </w:p>
    <w:p w14:paraId="78A12FF2">
      <w:pPr>
        <w:spacing w:beforeLines="0" w:afterLines="0"/>
        <w:ind w:firstLine="2240" w:firstLineChars="700"/>
        <w:rPr>
          <w:rFonts w:hint="eastAsia" w:ascii="方正姚体" w:hAnsi="黑体" w:eastAsia="方正姚体"/>
          <w:b/>
          <w:color w:val="FF0000"/>
          <w:sz w:val="28"/>
          <w:szCs w:val="28"/>
        </w:rPr>
      </w:pPr>
      <w:r>
        <w:rPr>
          <w:rFonts w:hint="eastAsia" w:ascii="方正仿宋简体" w:hAnsi="方正仿宋简体" w:eastAsia="方正仿宋简体" w:cs="方正仿宋简体"/>
          <w:sz w:val="32"/>
          <w:szCs w:val="32"/>
        </w:rPr>
        <w:t>理工大发〔2025〕110号</w:t>
      </w:r>
    </w:p>
    <w:p w14:paraId="31C336CB">
      <w:pPr>
        <w:rPr>
          <w:rFonts w:hint="eastAsia" w:ascii="方正姚体" w:hAnsi="黑体" w:eastAsia="方正姚体"/>
          <w:b/>
          <w:color w:val="FF0000"/>
          <w:sz w:val="28"/>
          <w:szCs w:val="28"/>
        </w:rPr>
      </w:pPr>
      <w:r>
        <w:rPr>
          <w:rFonts w:hint="eastAsia" w:ascii="方正姚体" w:hAnsi="黑体" w:eastAsia="方正姚体"/>
          <w:b/>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49530</wp:posOffset>
                </wp:positionV>
                <wp:extent cx="5257800" cy="0"/>
                <wp:effectExtent l="0" t="19050" r="0" b="19050"/>
                <wp:wrapNone/>
                <wp:docPr id="4" name="直接连接符 4"/>
                <wp:cNvGraphicFramePr/>
                <a:graphic xmlns:a="http://schemas.openxmlformats.org/drawingml/2006/main">
                  <a:graphicData uri="http://schemas.microsoft.com/office/word/2010/wordprocessingShape">
                    <wps:wsp>
                      <wps:cNvSpPr/>
                      <wps:spPr>
                        <a:xfrm>
                          <a:off x="0" y="0"/>
                          <a:ext cx="52578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9pt;height:0pt;width:414pt;z-index:251659264;mso-width-relative:page;mso-height-relative:page;" filled="f" stroked="t" coordsize="21600,21600" o:gfxdata="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vW6ILVAAAABAEAAA8AAAAAAAAAAQAgAAAAIgAAAGRycy9kb3ducmV2LnhtbFBLAQIU&#10;ABQAAAAIAIdO4kAb6xXw9gEAAOUDAAAOAAAAAAAAAAEAIAAAACQBAABkcnMvZTJvRG9jLnhtbFBL&#10;BQYAAAAABgAGAFkBAACMBQAAAAA=&#10;">
                <v:path arrowok="t"/>
                <v:fill on="f" focussize="0,0"/>
                <v:stroke weight="3pt" color="#FF0000"/>
                <v:imagedata o:title=""/>
                <o:lock v:ext="edit"/>
              </v:line>
            </w:pict>
          </mc:Fallback>
        </mc:AlternateContent>
      </w:r>
    </w:p>
    <w:p w14:paraId="7DBD086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辽宁理工职业大学</w:t>
      </w:r>
    </w:p>
    <w:p w14:paraId="0432516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财务预算</w:t>
      </w: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修订</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bookmarkEnd w:id="0"/>
    <w:p w14:paraId="76EC624A">
      <w:pPr>
        <w:spacing w:line="560" w:lineRule="exact"/>
        <w:rPr>
          <w:rFonts w:hint="eastAsia" w:ascii="方正仿宋简体" w:hAnsi="方正仿宋简体" w:eastAsia="方正仿宋简体" w:cs="宋体"/>
          <w:sz w:val="32"/>
          <w:szCs w:val="32"/>
        </w:rPr>
      </w:pPr>
    </w:p>
    <w:p w14:paraId="52E7C1F9">
      <w:pPr>
        <w:spacing w:line="560" w:lineRule="exact"/>
        <w:rPr>
          <w:rFonts w:hint="eastAsia" w:ascii="方正仿宋简体" w:hAnsi="华文仿宋" w:eastAsia="方正仿宋简体" w:cs="宋体"/>
          <w:sz w:val="32"/>
          <w:szCs w:val="32"/>
        </w:rPr>
      </w:pPr>
      <w:r>
        <w:rPr>
          <w:rFonts w:hint="eastAsia" w:ascii="方正仿宋简体" w:hAnsi="方正仿宋简体" w:eastAsia="方正仿宋简体" w:cs="宋体"/>
          <w:sz w:val="32"/>
          <w:szCs w:val="32"/>
        </w:rPr>
        <w:t>各院、部、处、室：</w:t>
      </w:r>
    </w:p>
    <w:p w14:paraId="3219E6DB">
      <w:pPr>
        <w:spacing w:line="56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《辽宁理工职业大学</w:t>
      </w:r>
      <w:r>
        <w:rPr>
          <w:rFonts w:hint="eastAsia" w:ascii="方正仿宋简体" w:hAnsi="方正仿宋简体" w:eastAsia="方正仿宋简体"/>
          <w:sz w:val="32"/>
          <w:szCs w:val="32"/>
          <w:lang w:val="en-US" w:eastAsia="zh-CN"/>
        </w:rPr>
        <w:t>财务预算</w:t>
      </w:r>
      <w:r>
        <w:rPr>
          <w:rFonts w:hint="eastAsia" w:ascii="方正仿宋简体" w:hAnsi="方正仿宋简体" w:eastAsia="方正仿宋简体"/>
          <w:sz w:val="32"/>
          <w:szCs w:val="32"/>
        </w:rPr>
        <w:t>管理办法（修订）》经2025年第</w:t>
      </w:r>
      <w:r>
        <w:rPr>
          <w:rFonts w:hint="eastAsia" w:ascii="方正仿宋简体" w:hAnsi="方正仿宋简体" w:eastAsia="方正仿宋简体"/>
          <w:sz w:val="32"/>
          <w:szCs w:val="32"/>
          <w:lang w:val="en-US" w:eastAsia="zh-CN"/>
        </w:rPr>
        <w:t>十五</w:t>
      </w:r>
      <w:r>
        <w:rPr>
          <w:rFonts w:hint="eastAsia" w:ascii="方正仿宋简体" w:hAnsi="方正仿宋简体" w:eastAsia="方正仿宋简体"/>
          <w:sz w:val="32"/>
          <w:szCs w:val="32"/>
        </w:rPr>
        <w:t>次校长办公会审定通过，现予以印发，请各部门遵照执行。</w:t>
      </w:r>
    </w:p>
    <w:p w14:paraId="22FD767D">
      <w:pPr>
        <w:spacing w:line="560" w:lineRule="exact"/>
        <w:ind w:firstLine="640"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 xml:space="preserve"> </w:t>
      </w:r>
    </w:p>
    <w:p w14:paraId="59DB9651">
      <w:pPr>
        <w:spacing w:line="560" w:lineRule="exact"/>
        <w:ind w:firstLine="4480" w:firstLineChars="14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辽宁理工职业大学</w:t>
      </w:r>
    </w:p>
    <w:p w14:paraId="7E0C5709">
      <w:pPr>
        <w:spacing w:line="560" w:lineRule="exact"/>
        <w:ind w:firstLine="4480" w:firstLineChars="14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2025年</w:t>
      </w:r>
      <w:r>
        <w:rPr>
          <w:rFonts w:hint="eastAsia" w:ascii="方正仿宋简体" w:hAnsi="方正仿宋简体" w:eastAsia="方正仿宋简体"/>
          <w:sz w:val="32"/>
          <w:szCs w:val="32"/>
          <w:lang w:val="en-US" w:eastAsia="zh-CN"/>
        </w:rPr>
        <w:t>9</w:t>
      </w:r>
      <w:r>
        <w:rPr>
          <w:rFonts w:hint="eastAsia" w:ascii="方正仿宋简体" w:hAnsi="方正仿宋简体" w:eastAsia="方正仿宋简体"/>
          <w:sz w:val="32"/>
          <w:szCs w:val="32"/>
        </w:rPr>
        <w:t>月</w:t>
      </w:r>
      <w:r>
        <w:rPr>
          <w:rFonts w:hint="eastAsia" w:ascii="方正仿宋简体" w:hAnsi="方正仿宋简体" w:eastAsia="方正仿宋简体"/>
          <w:sz w:val="32"/>
          <w:szCs w:val="32"/>
          <w:lang w:val="en-US" w:eastAsia="zh-CN"/>
        </w:rPr>
        <w:t>23</w:t>
      </w:r>
      <w:r>
        <w:rPr>
          <w:rFonts w:hint="eastAsia" w:ascii="方正仿宋简体" w:hAnsi="方正仿宋简体" w:eastAsia="方正仿宋简体"/>
          <w:sz w:val="32"/>
          <w:szCs w:val="32"/>
        </w:rPr>
        <w:t>日</w:t>
      </w:r>
    </w:p>
    <w:p w14:paraId="384A06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仿宋简体" w:hAnsi="方正仿宋简体" w:eastAsia="方正仿宋简体"/>
          <w:sz w:val="32"/>
          <w:szCs w:val="32"/>
        </w:rPr>
        <w:br w:type="page"/>
      </w:r>
      <w:r>
        <w:rPr>
          <w:rFonts w:hint="eastAsia" w:ascii="方正小标宋简体" w:hAnsi="方正小标宋简体" w:eastAsia="方正小标宋简体" w:cs="方正小标宋简体"/>
          <w:sz w:val="44"/>
          <w:szCs w:val="44"/>
        </w:rPr>
        <w:t>辽宁理工职业大学</w:t>
      </w:r>
    </w:p>
    <w:p w14:paraId="0C6301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sz w:val="36"/>
          <w:szCs w:val="36"/>
          <w:lang w:eastAsia="zh-CN"/>
        </w:rPr>
      </w:pPr>
      <w:r>
        <w:rPr>
          <w:rFonts w:hint="eastAsia" w:ascii="方正小标宋简体" w:hAnsi="方正小标宋简体" w:eastAsia="方正小标宋简体" w:cs="方正小标宋简体"/>
          <w:sz w:val="44"/>
          <w:szCs w:val="44"/>
        </w:rPr>
        <w:t>财务预算管理办法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修订</w:t>
      </w:r>
      <w:r>
        <w:rPr>
          <w:rFonts w:hint="eastAsia" w:ascii="方正小标宋简体" w:hAnsi="方正小标宋简体" w:eastAsia="方正小标宋简体" w:cs="方正小标宋简体"/>
          <w:sz w:val="44"/>
          <w:szCs w:val="44"/>
          <w:lang w:eastAsia="zh-CN"/>
        </w:rPr>
        <w:t>）</w:t>
      </w:r>
    </w:p>
    <w:p w14:paraId="214937A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第一章 总 则</w:t>
      </w:r>
    </w:p>
    <w:p w14:paraId="57F132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第一条</w:t>
      </w:r>
      <w:r>
        <w:rPr>
          <w:rFonts w:hint="eastAsia" w:ascii="方正仿宋简体" w:hAnsi="方正仿宋简体" w:eastAsia="方正仿宋简体" w:cs="方正仿宋简体"/>
          <w:color w:val="auto"/>
          <w:sz w:val="32"/>
          <w:szCs w:val="32"/>
        </w:rPr>
        <w:t xml:space="preserve"> 为了强化学校财务管理和监督，加强宏观调控，科学合理有效的使用资金，保障学校各项事业的健康发展，结合学校的实际情况，制定本办法。</w:t>
      </w:r>
    </w:p>
    <w:p w14:paraId="7DB22A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第二条</w:t>
      </w:r>
      <w:r>
        <w:rPr>
          <w:rFonts w:hint="eastAsia" w:ascii="方正仿宋简体" w:hAnsi="方正仿宋简体" w:eastAsia="方正仿宋简体" w:cs="方正仿宋简体"/>
          <w:color w:val="auto"/>
          <w:sz w:val="32"/>
          <w:szCs w:val="32"/>
        </w:rPr>
        <w:t xml:space="preserve"> 学校财务预算是根据学校事业发展计划和任务编制的年度财务收支计划，是学校日常组织收入和控制支出的依据。学校在编制财务预算时，必须确保预算收入的可靠性和预算支出的科学性、可行性。</w:t>
      </w:r>
    </w:p>
    <w:p w14:paraId="346E52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第三条</w:t>
      </w:r>
      <w:r>
        <w:rPr>
          <w:rFonts w:hint="eastAsia" w:ascii="方正仿宋简体" w:hAnsi="方正仿宋简体" w:eastAsia="方正仿宋简体" w:cs="方正仿宋简体"/>
          <w:color w:val="auto"/>
          <w:sz w:val="32"/>
          <w:szCs w:val="32"/>
        </w:rPr>
        <w:t xml:space="preserve"> 预算编制的基本原则是：“量入为出、收支平衡、统筹兼顾、节约高效、规避风险”，原则上不编制赤字预算。</w:t>
      </w:r>
    </w:p>
    <w:p w14:paraId="2A721A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第四条</w:t>
      </w:r>
      <w:r>
        <w:rPr>
          <w:rFonts w:hint="eastAsia" w:ascii="方正仿宋简体" w:hAnsi="方正仿宋简体" w:eastAsia="方正仿宋简体" w:cs="方正仿宋简体"/>
          <w:color w:val="auto"/>
          <w:sz w:val="32"/>
          <w:szCs w:val="32"/>
        </w:rPr>
        <w:t xml:space="preserve"> 预算年度自公历1月1日至12月31日。</w:t>
      </w:r>
    </w:p>
    <w:p w14:paraId="3C03B2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 xml:space="preserve">第五条 </w:t>
      </w:r>
      <w:r>
        <w:rPr>
          <w:rFonts w:hint="eastAsia" w:ascii="方正仿宋简体" w:hAnsi="方正仿宋简体" w:eastAsia="方正仿宋简体" w:cs="方正仿宋简体"/>
          <w:color w:val="auto"/>
          <w:sz w:val="32"/>
          <w:szCs w:val="32"/>
        </w:rPr>
        <w:t>预算收入和预算支出以人民币为计算单位。</w:t>
      </w:r>
    </w:p>
    <w:p w14:paraId="6CD1A58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第二章 预算的收支范围</w:t>
      </w:r>
    </w:p>
    <w:p w14:paraId="252AB0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第六条</w:t>
      </w:r>
      <w:r>
        <w:rPr>
          <w:rFonts w:hint="eastAsia" w:ascii="方正仿宋简体" w:hAnsi="方正仿宋简体" w:eastAsia="方正仿宋简体" w:cs="方正仿宋简体"/>
          <w:color w:val="auto"/>
          <w:sz w:val="32"/>
          <w:szCs w:val="32"/>
        </w:rPr>
        <w:t xml:space="preserve"> 学校财务预算由收入预算和支出预算组成。</w:t>
      </w:r>
    </w:p>
    <w:p w14:paraId="54BEF2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第七条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kern w:val="0"/>
          <w:sz w:val="32"/>
          <w:szCs w:val="32"/>
        </w:rPr>
        <w:t>收入预算是指学校开展教学、科研及其他活动依法取得的非偿还性资金收入计划。预算收入包括：</w:t>
      </w:r>
      <w:r>
        <w:rPr>
          <w:rFonts w:hint="eastAsia" w:ascii="方正仿宋简体" w:hAnsi="方正仿宋简体" w:eastAsia="方正仿宋简体" w:cs="方正仿宋简体"/>
          <w:color w:val="auto"/>
          <w:sz w:val="32"/>
          <w:szCs w:val="32"/>
        </w:rPr>
        <w:t>教育事业收入、科研事业收入、财政补助收入、上级补助收入、经营收入、其他收入。</w:t>
      </w:r>
    </w:p>
    <w:p w14:paraId="55683F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 xml:space="preserve">第八条 </w:t>
      </w:r>
      <w:r>
        <w:rPr>
          <w:rFonts w:hint="eastAsia" w:ascii="方正仿宋简体" w:hAnsi="方正仿宋简体" w:eastAsia="方正仿宋简体" w:cs="方正仿宋简体"/>
          <w:color w:val="auto"/>
          <w:kern w:val="0"/>
          <w:sz w:val="32"/>
          <w:szCs w:val="32"/>
        </w:rPr>
        <w:t>支出预算是指学校用于教学、科研、基本建设和其他活动的资金支出计划。预算支出包括</w:t>
      </w:r>
      <w:r>
        <w:rPr>
          <w:rFonts w:hint="eastAsia" w:ascii="方正仿宋简体" w:hAnsi="方正仿宋简体" w:eastAsia="方正仿宋简体" w:cs="方正仿宋简体"/>
          <w:color w:val="auto"/>
          <w:sz w:val="32"/>
          <w:szCs w:val="32"/>
        </w:rPr>
        <w:t>教育事业支出、科研事业支出、行政管理支出、后勤保障支出、经营支出、其他支出。每项支出</w:t>
      </w:r>
      <w:r>
        <w:rPr>
          <w:rFonts w:hint="eastAsia" w:ascii="方正仿宋简体" w:hAnsi="方正仿宋简体" w:eastAsia="方正仿宋简体" w:cs="方正仿宋简体"/>
          <w:color w:val="auto"/>
          <w:kern w:val="0"/>
          <w:sz w:val="32"/>
          <w:szCs w:val="32"/>
        </w:rPr>
        <w:t>分为基本支出和项目支出。</w:t>
      </w:r>
    </w:p>
    <w:p w14:paraId="140133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textAlignment w:val="auto"/>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（一）基本支出是</w:t>
      </w:r>
      <w:r>
        <w:rPr>
          <w:rFonts w:hint="eastAsia" w:ascii="方正仿宋简体" w:hAnsi="方正仿宋简体" w:eastAsia="方正仿宋简体" w:cs="方正仿宋简体"/>
          <w:color w:val="auto"/>
          <w:kern w:val="0"/>
          <w:sz w:val="32"/>
          <w:szCs w:val="32"/>
          <w:highlight w:val="none"/>
          <w:lang w:val="en-US" w:eastAsia="zh-CN"/>
        </w:rPr>
        <w:t>学校</w:t>
      </w:r>
      <w:r>
        <w:rPr>
          <w:rFonts w:hint="eastAsia" w:ascii="方正仿宋简体" w:hAnsi="方正仿宋简体" w:eastAsia="方正仿宋简体" w:cs="方正仿宋简体"/>
          <w:color w:val="auto"/>
          <w:kern w:val="0"/>
          <w:sz w:val="32"/>
          <w:szCs w:val="32"/>
          <w:highlight w:val="none"/>
        </w:rPr>
        <w:t>为</w:t>
      </w:r>
      <w:r>
        <w:rPr>
          <w:rFonts w:hint="eastAsia" w:ascii="方正仿宋简体" w:hAnsi="方正仿宋简体" w:eastAsia="方正仿宋简体" w:cs="方正仿宋简体"/>
          <w:color w:val="auto"/>
          <w:kern w:val="0"/>
          <w:sz w:val="32"/>
          <w:szCs w:val="32"/>
        </w:rPr>
        <w:t>保障正常运转和完成日常工作任务所必需的支出，包括人员经费和日常公用经费。</w:t>
      </w:r>
    </w:p>
    <w:p w14:paraId="3566D02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textAlignment w:val="auto"/>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1.人员经费包括基本工资、津贴补贴、奖金、社会保障缴费、绩效工资、住房公积金和其他人员经费等；</w:t>
      </w:r>
    </w:p>
    <w:p w14:paraId="2AC52AC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textAlignment w:val="auto"/>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2.日常公用经费是指各单位维持运转的日常性开支费用。</w:t>
      </w:r>
    </w:p>
    <w:p w14:paraId="0FB97F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textAlignment w:val="auto"/>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（二）项目支出是指学校为完成特定工作任务和事业发展任务，在基本支出预算之外编制具有专门用途的年度支出。</w:t>
      </w:r>
    </w:p>
    <w:p w14:paraId="36A0A93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第三章 预算的编制</w:t>
      </w:r>
    </w:p>
    <w:p w14:paraId="4F10A2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第九条</w:t>
      </w:r>
      <w:r>
        <w:rPr>
          <w:rFonts w:hint="eastAsia" w:ascii="方正仿宋简体" w:hAnsi="方正仿宋简体" w:eastAsia="方正仿宋简体" w:cs="方正仿宋简体"/>
          <w:color w:val="auto"/>
          <w:sz w:val="32"/>
          <w:szCs w:val="32"/>
        </w:rPr>
        <w:t xml:space="preserve"> 学校财务处每年</w:t>
      </w:r>
      <w:r>
        <w:rPr>
          <w:rFonts w:hint="eastAsia" w:ascii="方正仿宋简体" w:hAnsi="方正仿宋简体" w:eastAsia="方正仿宋简体" w:cs="方正仿宋简体"/>
          <w:color w:val="auto"/>
          <w:sz w:val="32"/>
          <w:szCs w:val="32"/>
          <w:lang w:val="en-US" w:eastAsia="zh-CN"/>
        </w:rPr>
        <w:t>11</w:t>
      </w:r>
      <w:r>
        <w:rPr>
          <w:rFonts w:hint="eastAsia" w:ascii="方正仿宋简体" w:hAnsi="方正仿宋简体" w:eastAsia="方正仿宋简体" w:cs="方正仿宋简体"/>
          <w:color w:val="auto"/>
          <w:sz w:val="32"/>
          <w:szCs w:val="32"/>
        </w:rPr>
        <w:t>月初为学校各</w:t>
      </w:r>
      <w:r>
        <w:rPr>
          <w:rFonts w:hint="eastAsia" w:ascii="方正仿宋简体" w:hAnsi="方正仿宋简体" w:eastAsia="方正仿宋简体" w:cs="方正仿宋简体"/>
          <w:color w:val="auto"/>
          <w:sz w:val="32"/>
          <w:szCs w:val="32"/>
          <w:lang w:val="en-US" w:eastAsia="zh-CN"/>
        </w:rPr>
        <w:t>部门</w:t>
      </w:r>
      <w:r>
        <w:rPr>
          <w:rFonts w:hint="eastAsia" w:ascii="方正仿宋简体" w:hAnsi="方正仿宋简体" w:eastAsia="方正仿宋简体" w:cs="方正仿宋简体"/>
          <w:color w:val="auto"/>
          <w:sz w:val="32"/>
          <w:szCs w:val="32"/>
        </w:rPr>
        <w:t>下达编制新年度支出预算表。经各</w:t>
      </w:r>
      <w:r>
        <w:rPr>
          <w:rFonts w:hint="eastAsia" w:ascii="方正仿宋简体" w:hAnsi="方正仿宋简体" w:eastAsia="方正仿宋简体" w:cs="方正仿宋简体"/>
          <w:color w:val="auto"/>
          <w:sz w:val="32"/>
          <w:szCs w:val="32"/>
          <w:lang w:val="en-US" w:eastAsia="zh-CN"/>
        </w:rPr>
        <w:t>部门</w:t>
      </w:r>
      <w:r>
        <w:rPr>
          <w:rFonts w:hint="eastAsia" w:ascii="方正仿宋简体" w:hAnsi="方正仿宋简体" w:eastAsia="方正仿宋简体" w:cs="方正仿宋简体"/>
          <w:color w:val="auto"/>
          <w:sz w:val="32"/>
          <w:szCs w:val="32"/>
          <w:highlight w:val="none"/>
          <w:lang w:val="en-US" w:eastAsia="zh-CN"/>
        </w:rPr>
        <w:t>研讨</w:t>
      </w:r>
      <w:r>
        <w:rPr>
          <w:rFonts w:hint="eastAsia" w:ascii="方正仿宋简体" w:hAnsi="方正仿宋简体" w:eastAsia="方正仿宋简体" w:cs="方正仿宋简体"/>
          <w:color w:val="auto"/>
          <w:sz w:val="32"/>
          <w:szCs w:val="32"/>
        </w:rPr>
        <w:t>后，12月</w:t>
      </w:r>
      <w:r>
        <w:rPr>
          <w:rFonts w:hint="eastAsia" w:ascii="方正仿宋简体" w:hAnsi="方正仿宋简体" w:eastAsia="方正仿宋简体" w:cs="方正仿宋简体"/>
          <w:color w:val="auto"/>
          <w:sz w:val="32"/>
          <w:szCs w:val="32"/>
          <w:lang w:val="en-US" w:eastAsia="zh-CN"/>
        </w:rPr>
        <w:t>上旬</w:t>
      </w:r>
      <w:r>
        <w:rPr>
          <w:rFonts w:hint="eastAsia" w:ascii="方正仿宋简体" w:hAnsi="方正仿宋简体" w:eastAsia="方正仿宋简体" w:cs="方正仿宋简体"/>
          <w:color w:val="auto"/>
          <w:sz w:val="32"/>
          <w:szCs w:val="32"/>
        </w:rPr>
        <w:t>将支出预算表报到财务处。</w:t>
      </w:r>
    </w:p>
    <w:p w14:paraId="60F1D3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第十条</w:t>
      </w:r>
      <w:r>
        <w:rPr>
          <w:rFonts w:hint="eastAsia" w:ascii="方正仿宋简体" w:hAnsi="方正仿宋简体" w:eastAsia="方正仿宋简体" w:cs="方正仿宋简体"/>
          <w:color w:val="auto"/>
          <w:sz w:val="32"/>
          <w:szCs w:val="32"/>
        </w:rPr>
        <w:t xml:space="preserve"> 财务处在编制支出预算时，</w:t>
      </w:r>
      <w:r>
        <w:rPr>
          <w:rFonts w:hint="eastAsia" w:ascii="方正仿宋简体" w:hAnsi="方正仿宋简体" w:eastAsia="方正仿宋简体" w:cs="方正仿宋简体"/>
          <w:color w:val="auto"/>
          <w:sz w:val="32"/>
          <w:szCs w:val="32"/>
          <w:lang w:val="en-US" w:eastAsia="zh-CN"/>
        </w:rPr>
        <w:t>在</w:t>
      </w:r>
      <w:r>
        <w:rPr>
          <w:rFonts w:hint="eastAsia" w:ascii="方正仿宋简体" w:hAnsi="方正仿宋简体" w:eastAsia="方正仿宋简体" w:cs="方正仿宋简体"/>
          <w:color w:val="auto"/>
          <w:sz w:val="32"/>
          <w:szCs w:val="32"/>
        </w:rPr>
        <w:t>保</w:t>
      </w:r>
      <w:r>
        <w:rPr>
          <w:rFonts w:hint="eastAsia" w:ascii="方正仿宋简体" w:hAnsi="方正仿宋简体" w:eastAsia="方正仿宋简体" w:cs="方正仿宋简体"/>
          <w:color w:val="auto"/>
          <w:sz w:val="32"/>
          <w:szCs w:val="32"/>
          <w:lang w:val="en-US" w:eastAsia="zh-CN"/>
        </w:rPr>
        <w:t>障</w:t>
      </w:r>
      <w:r>
        <w:rPr>
          <w:rFonts w:hint="eastAsia" w:ascii="方正仿宋简体" w:hAnsi="方正仿宋简体" w:eastAsia="方正仿宋简体" w:cs="方正仿宋简体"/>
          <w:color w:val="auto"/>
          <w:sz w:val="32"/>
          <w:szCs w:val="32"/>
        </w:rPr>
        <w:t>学校教育教学正常运转的刚性支出</w:t>
      </w:r>
      <w:r>
        <w:rPr>
          <w:rFonts w:hint="eastAsia" w:ascii="方正仿宋简体" w:hAnsi="方正仿宋简体" w:eastAsia="方正仿宋简体" w:cs="方正仿宋简体"/>
          <w:color w:val="auto"/>
          <w:sz w:val="32"/>
          <w:szCs w:val="32"/>
          <w:lang w:val="en-US" w:eastAsia="zh-CN"/>
        </w:rPr>
        <w:t>的前提下，向教学一线倾斜，优先安排人才培养经费和教学日学运行支出</w:t>
      </w:r>
      <w:r>
        <w:rPr>
          <w:rFonts w:hint="eastAsia" w:ascii="方正仿宋简体" w:hAnsi="方正仿宋简体" w:eastAsia="方正仿宋简体" w:cs="方正仿宋简体"/>
          <w:color w:val="auto"/>
          <w:sz w:val="32"/>
          <w:szCs w:val="32"/>
        </w:rPr>
        <w:t>。</w:t>
      </w:r>
    </w:p>
    <w:p w14:paraId="22E35C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第十一条</w:t>
      </w:r>
      <w:r>
        <w:rPr>
          <w:rFonts w:hint="eastAsia" w:ascii="方正仿宋简体" w:hAnsi="方正仿宋简体" w:eastAsia="方正仿宋简体" w:cs="方正仿宋简体"/>
          <w:color w:val="auto"/>
          <w:sz w:val="32"/>
          <w:szCs w:val="32"/>
        </w:rPr>
        <w:t xml:space="preserve"> 财务处根据上年度收入情况以及预算执行情况，结合新年度各</w:t>
      </w:r>
      <w:r>
        <w:rPr>
          <w:rFonts w:hint="eastAsia" w:ascii="方正仿宋简体" w:hAnsi="方正仿宋简体" w:eastAsia="方正仿宋简体" w:cs="方正仿宋简体"/>
          <w:color w:val="auto"/>
          <w:sz w:val="32"/>
          <w:szCs w:val="32"/>
          <w:lang w:val="en-US" w:eastAsia="zh-CN"/>
        </w:rPr>
        <w:t>部门</w:t>
      </w:r>
      <w:r>
        <w:rPr>
          <w:rFonts w:hint="eastAsia" w:ascii="方正仿宋简体" w:hAnsi="方正仿宋简体" w:eastAsia="方正仿宋简体" w:cs="方正仿宋简体"/>
          <w:color w:val="auto"/>
          <w:sz w:val="32"/>
          <w:szCs w:val="32"/>
        </w:rPr>
        <w:t>报送的经费支出报告</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编制</w:t>
      </w:r>
      <w:r>
        <w:rPr>
          <w:rFonts w:hint="eastAsia" w:ascii="方正仿宋简体" w:hAnsi="方正仿宋简体" w:eastAsia="方正仿宋简体" w:cs="方正仿宋简体"/>
          <w:color w:val="auto"/>
          <w:sz w:val="32"/>
          <w:szCs w:val="32"/>
          <w:lang w:val="en-US" w:eastAsia="zh-CN"/>
        </w:rPr>
        <w:t>新</w:t>
      </w:r>
      <w:r>
        <w:rPr>
          <w:rFonts w:hint="eastAsia" w:ascii="方正仿宋简体" w:hAnsi="方正仿宋简体" w:eastAsia="方正仿宋简体" w:cs="方正仿宋简体"/>
          <w:color w:val="auto"/>
          <w:sz w:val="32"/>
          <w:szCs w:val="32"/>
        </w:rPr>
        <w:t>年度财务预算，</w:t>
      </w:r>
      <w:r>
        <w:rPr>
          <w:rFonts w:hint="eastAsia" w:ascii="方正仿宋简体" w:hAnsi="方正仿宋简体" w:eastAsia="方正仿宋简体" w:cs="方正仿宋简体"/>
          <w:color w:val="auto"/>
          <w:sz w:val="32"/>
          <w:szCs w:val="32"/>
          <w:lang w:val="en-US" w:eastAsia="zh-CN"/>
        </w:rPr>
        <w:t>12月中旬</w:t>
      </w:r>
      <w:r>
        <w:rPr>
          <w:rFonts w:hint="eastAsia" w:ascii="方正仿宋简体" w:hAnsi="方正仿宋简体" w:eastAsia="方正仿宋简体" w:cs="方正仿宋简体"/>
          <w:color w:val="auto"/>
          <w:sz w:val="32"/>
          <w:szCs w:val="32"/>
        </w:rPr>
        <w:t>提交学校校长办公</w:t>
      </w:r>
      <w:r>
        <w:rPr>
          <w:rFonts w:hint="eastAsia" w:ascii="方正仿宋简体" w:hAnsi="方正仿宋简体" w:eastAsia="方正仿宋简体" w:cs="方正仿宋简体"/>
          <w:color w:val="auto"/>
          <w:sz w:val="32"/>
          <w:szCs w:val="32"/>
          <w:highlight w:val="none"/>
          <w:lang w:val="en-US" w:eastAsia="zh-CN"/>
        </w:rPr>
        <w:t>会</w:t>
      </w:r>
      <w:r>
        <w:rPr>
          <w:rFonts w:hint="eastAsia" w:ascii="方正仿宋简体" w:hAnsi="方正仿宋简体" w:eastAsia="方正仿宋简体" w:cs="方正仿宋简体"/>
          <w:strike w:val="0"/>
          <w:dstrike w:val="0"/>
          <w:color w:val="auto"/>
          <w:sz w:val="32"/>
          <w:szCs w:val="32"/>
          <w:highlight w:val="none"/>
          <w:lang w:val="en-US" w:eastAsia="zh-CN"/>
        </w:rPr>
        <w:t>审议</w:t>
      </w:r>
      <w:r>
        <w:rPr>
          <w:rFonts w:hint="eastAsia" w:ascii="方正仿宋简体" w:hAnsi="方正仿宋简体" w:eastAsia="方正仿宋简体" w:cs="方正仿宋简体"/>
          <w:color w:val="auto"/>
          <w:sz w:val="32"/>
          <w:szCs w:val="32"/>
        </w:rPr>
        <w:t>，最后报学校董事会</w:t>
      </w:r>
      <w:r>
        <w:rPr>
          <w:rFonts w:hint="eastAsia" w:ascii="方正仿宋简体" w:hAnsi="方正仿宋简体" w:eastAsia="方正仿宋简体" w:cs="方正仿宋简体"/>
          <w:strike w:val="0"/>
          <w:dstrike w:val="0"/>
          <w:color w:val="auto"/>
          <w:sz w:val="32"/>
          <w:szCs w:val="32"/>
          <w:highlight w:val="none"/>
          <w:lang w:val="en-US" w:eastAsia="zh-CN"/>
        </w:rPr>
        <w:t>审定</w:t>
      </w:r>
      <w:r>
        <w:rPr>
          <w:rFonts w:hint="eastAsia" w:ascii="方正仿宋简体" w:hAnsi="方正仿宋简体" w:eastAsia="方正仿宋简体" w:cs="方正仿宋简体"/>
          <w:color w:val="auto"/>
          <w:sz w:val="32"/>
          <w:szCs w:val="32"/>
          <w:highlight w:val="none"/>
        </w:rPr>
        <w:t>批准</w:t>
      </w:r>
      <w:r>
        <w:rPr>
          <w:rFonts w:hint="eastAsia" w:ascii="方正仿宋简体" w:hAnsi="方正仿宋简体" w:eastAsia="方正仿宋简体" w:cs="方正仿宋简体"/>
          <w:color w:val="auto"/>
          <w:sz w:val="32"/>
          <w:szCs w:val="32"/>
        </w:rPr>
        <w:t>后方可执行。</w:t>
      </w:r>
    </w:p>
    <w:p w14:paraId="2BBB399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第四章 预算的执行与调整</w:t>
      </w:r>
    </w:p>
    <w:p w14:paraId="349018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第十二条</w:t>
      </w:r>
      <w:r>
        <w:rPr>
          <w:rFonts w:hint="eastAsia" w:ascii="方正仿宋简体" w:hAnsi="方正仿宋简体" w:eastAsia="方正仿宋简体" w:cs="方正仿宋简体"/>
          <w:color w:val="auto"/>
          <w:sz w:val="32"/>
          <w:szCs w:val="32"/>
        </w:rPr>
        <w:t xml:space="preserve"> 学校校长、</w:t>
      </w:r>
      <w:r>
        <w:rPr>
          <w:rFonts w:hint="eastAsia" w:ascii="方正仿宋简体" w:hAnsi="方正仿宋简体" w:eastAsia="方正仿宋简体" w:cs="方正仿宋简体"/>
          <w:color w:val="auto"/>
          <w:sz w:val="32"/>
          <w:szCs w:val="32"/>
          <w:lang w:val="en-US" w:eastAsia="zh-CN"/>
        </w:rPr>
        <w:t>教学教辅单位、职能部门、</w:t>
      </w:r>
      <w:r>
        <w:rPr>
          <w:rFonts w:hint="eastAsia" w:ascii="方正仿宋简体" w:hAnsi="方正仿宋简体" w:eastAsia="方正仿宋简体" w:cs="方正仿宋简体"/>
          <w:color w:val="auto"/>
          <w:sz w:val="32"/>
          <w:szCs w:val="32"/>
        </w:rPr>
        <w:t>财务处</w:t>
      </w:r>
      <w:r>
        <w:rPr>
          <w:rFonts w:hint="eastAsia" w:ascii="方正仿宋简体" w:hAnsi="方正仿宋简体" w:eastAsia="方正仿宋简体" w:cs="方正仿宋简体"/>
          <w:color w:val="auto"/>
          <w:sz w:val="32"/>
          <w:szCs w:val="32"/>
          <w:lang w:val="en-US" w:eastAsia="zh-CN"/>
        </w:rPr>
        <w:t>等各单位</w:t>
      </w:r>
      <w:r>
        <w:rPr>
          <w:rFonts w:hint="eastAsia" w:ascii="方正仿宋简体" w:hAnsi="方正仿宋简体" w:eastAsia="方正仿宋简体" w:cs="方正仿宋简体"/>
          <w:color w:val="auto"/>
          <w:sz w:val="32"/>
          <w:szCs w:val="32"/>
        </w:rPr>
        <w:t>负责人负责学校预算的执行工作。</w:t>
      </w:r>
    </w:p>
    <w:p w14:paraId="206B32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第十三条</w:t>
      </w:r>
      <w:r>
        <w:rPr>
          <w:rFonts w:hint="eastAsia" w:ascii="方正仿宋简体" w:hAnsi="方正仿宋简体" w:eastAsia="方正仿宋简体" w:cs="方正仿宋简体"/>
          <w:color w:val="auto"/>
          <w:sz w:val="32"/>
          <w:szCs w:val="32"/>
        </w:rPr>
        <w:t xml:space="preserve"> 学校的收入是安排预算支出的基础，各</w:t>
      </w:r>
      <w:r>
        <w:rPr>
          <w:rFonts w:hint="eastAsia" w:ascii="方正仿宋简体" w:hAnsi="方正仿宋简体" w:eastAsia="方正仿宋简体" w:cs="方正仿宋简体"/>
          <w:color w:val="auto"/>
          <w:sz w:val="32"/>
          <w:szCs w:val="32"/>
          <w:lang w:val="en-US" w:eastAsia="zh-CN"/>
        </w:rPr>
        <w:t>单位</w:t>
      </w:r>
      <w:r>
        <w:rPr>
          <w:rFonts w:hint="eastAsia" w:ascii="方正仿宋简体" w:hAnsi="方正仿宋简体" w:eastAsia="方正仿宋简体" w:cs="方正仿宋简体"/>
          <w:color w:val="auto"/>
          <w:sz w:val="32"/>
          <w:szCs w:val="32"/>
        </w:rPr>
        <w:t>应将取得的各项收入及时、足额上缴入账，财务处</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pacing w:val="0"/>
          <w:sz w:val="32"/>
          <w:szCs w:val="32"/>
        </w:rPr>
        <w:t>纪检监察</w:t>
      </w:r>
      <w:r>
        <w:rPr>
          <w:rFonts w:hint="eastAsia" w:ascii="方正仿宋简体" w:hAnsi="方正仿宋简体" w:eastAsia="方正仿宋简体" w:cs="方正仿宋简体"/>
          <w:color w:val="auto"/>
          <w:spacing w:val="0"/>
          <w:sz w:val="32"/>
          <w:szCs w:val="32"/>
          <w:lang w:val="en-US" w:eastAsia="zh-CN"/>
        </w:rPr>
        <w:t>部门</w:t>
      </w:r>
      <w:r>
        <w:rPr>
          <w:rFonts w:hint="eastAsia" w:ascii="方正仿宋简体" w:hAnsi="方正仿宋简体" w:eastAsia="方正仿宋简体" w:cs="方正仿宋简体"/>
          <w:color w:val="auto"/>
          <w:sz w:val="32"/>
          <w:szCs w:val="32"/>
        </w:rPr>
        <w:t>要监督各项收入来源是否合理、合法，是否存在截留、占用、挪用、拖欠情况</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一经发现，学校将严肃处理相关单位。</w:t>
      </w:r>
    </w:p>
    <w:p w14:paraId="672C5B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第十四条</w:t>
      </w:r>
      <w:r>
        <w:rPr>
          <w:rFonts w:hint="eastAsia" w:ascii="方正仿宋简体" w:hAnsi="方正仿宋简体" w:eastAsia="方正仿宋简体" w:cs="方正仿宋简体"/>
          <w:color w:val="auto"/>
          <w:sz w:val="32"/>
          <w:szCs w:val="32"/>
        </w:rPr>
        <w:t xml:space="preserve"> 在预算执行过程中，财务处对每笔开支都要进行严格监督，最大限度确保财务预算不超支。</w:t>
      </w:r>
    </w:p>
    <w:p w14:paraId="7662F3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第十五条</w:t>
      </w:r>
      <w:r>
        <w:rPr>
          <w:rFonts w:hint="eastAsia" w:ascii="方正仿宋简体" w:hAnsi="方正仿宋简体" w:eastAsia="方正仿宋简体" w:cs="方正仿宋简体"/>
          <w:color w:val="auto"/>
          <w:sz w:val="32"/>
          <w:szCs w:val="32"/>
        </w:rPr>
        <w:t xml:space="preserve"> 为了保证学校预算的严肃性、权威性，在预算执行过程中，财务处一般情况下不办理无预算或超预算的支出，特殊情况需经校长和董事会批准方可办理支出。</w:t>
      </w:r>
    </w:p>
    <w:p w14:paraId="51CB731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第五章 预算的决算与分析</w:t>
      </w:r>
    </w:p>
    <w:p w14:paraId="4AD7B1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第十六条</w:t>
      </w:r>
      <w:r>
        <w:rPr>
          <w:rFonts w:hint="eastAsia" w:ascii="方正仿宋简体" w:hAnsi="方正仿宋简体" w:eastAsia="方正仿宋简体" w:cs="方正仿宋简体"/>
          <w:color w:val="auto"/>
          <w:sz w:val="32"/>
          <w:szCs w:val="32"/>
        </w:rPr>
        <w:t xml:space="preserve"> 在预算执行过程中，财务处要定期分析预算执行情况，及时提供给校长和董事会，供领导决策。预算年度终了，财务处要编制年度决算，分析说明预算执行结果，总结预算执行过程中的经验，提出改进预算编制和管理的建议。</w:t>
      </w:r>
    </w:p>
    <w:p w14:paraId="0EEEF0A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第六章 附 则</w:t>
      </w:r>
    </w:p>
    <w:p w14:paraId="717358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第十七条</w:t>
      </w:r>
      <w:r>
        <w:rPr>
          <w:rFonts w:hint="eastAsia" w:ascii="方正仿宋简体" w:hAnsi="方正仿宋简体" w:eastAsia="方正仿宋简体" w:cs="方正仿宋简体"/>
          <w:color w:val="auto"/>
          <w:sz w:val="32"/>
          <w:szCs w:val="32"/>
        </w:rPr>
        <w:t xml:space="preserve"> 本办法解释权在学校财务处。</w:t>
      </w:r>
    </w:p>
    <w:p w14:paraId="42B0C1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color w:val="auto"/>
          <w:sz w:val="32"/>
          <w:szCs w:val="32"/>
        </w:rPr>
        <w:t>第十八条</w:t>
      </w:r>
      <w:r>
        <w:rPr>
          <w:rFonts w:hint="eastAsia" w:ascii="方正仿宋简体" w:hAnsi="方正仿宋简体" w:eastAsia="方正仿宋简体" w:cs="方正仿宋简体"/>
          <w:color w:val="auto"/>
          <w:sz w:val="32"/>
          <w:szCs w:val="32"/>
        </w:rPr>
        <w:t xml:space="preserve"> 本办法自发布之日起执行</w:t>
      </w:r>
      <w:r>
        <w:rPr>
          <w:rFonts w:hint="eastAsia" w:ascii="方正仿宋简体" w:hAnsi="方正仿宋简体" w:eastAsia="方正仿宋简体" w:cs="方正仿宋简体"/>
          <w:color w:val="auto"/>
          <w:spacing w:val="15"/>
          <w:sz w:val="32"/>
          <w:szCs w:val="32"/>
        </w:rPr>
        <w:t>，原有相关文件同时废</w:t>
      </w:r>
      <w:r>
        <w:rPr>
          <w:rFonts w:hint="eastAsia" w:ascii="方正仿宋简体" w:hAnsi="方正仿宋简体" w:eastAsia="方正仿宋简体" w:cs="方正仿宋简体"/>
          <w:color w:val="auto"/>
          <w:spacing w:val="-15"/>
          <w:sz w:val="32"/>
          <w:szCs w:val="32"/>
        </w:rPr>
        <w:t>止</w:t>
      </w:r>
      <w:r>
        <w:rPr>
          <w:rFonts w:hint="eastAsia" w:ascii="方正仿宋简体" w:hAnsi="方正仿宋简体" w:eastAsia="方正仿宋简体" w:cs="方正仿宋简体"/>
          <w:color w:val="auto"/>
          <w:sz w:val="32"/>
          <w:szCs w:val="32"/>
        </w:rPr>
        <w:t>。</w:t>
      </w:r>
    </w:p>
    <w:p w14:paraId="3E264816">
      <w:pPr>
        <w:bidi w:val="0"/>
        <w:rPr>
          <w:rStyle w:val="5"/>
          <w:rFonts w:hint="eastAsia" w:ascii="Times New Roman" w:hAnsi="Times New Roman" w:eastAsia="宋体" w:cs="Times New Roman"/>
          <w:lang w:val="en-US" w:eastAsia="zh-CN"/>
        </w:rPr>
      </w:pPr>
    </w:p>
    <w:p w14:paraId="4B70D93F">
      <w:pPr>
        <w:bidi w:val="0"/>
        <w:rPr>
          <w:rStyle w:val="5"/>
          <w:rFonts w:hint="eastAsia" w:ascii="Times New Roman" w:hAnsi="Times New Roman" w:eastAsia="宋体" w:cs="Times New Roman"/>
          <w:lang w:val="en-US" w:eastAsia="zh-CN"/>
        </w:rPr>
      </w:pPr>
    </w:p>
    <w:p w14:paraId="76930412">
      <w:pPr>
        <w:bidi w:val="0"/>
        <w:rPr>
          <w:rStyle w:val="5"/>
          <w:rFonts w:hint="eastAsia" w:ascii="Times New Roman" w:hAnsi="Times New Roman" w:eastAsia="宋体" w:cs="Times New Roman"/>
          <w:lang w:val="en-US" w:eastAsia="zh-CN"/>
        </w:rPr>
      </w:pPr>
    </w:p>
    <w:p w14:paraId="300A91E7">
      <w:pPr>
        <w:bidi w:val="0"/>
      </w:pPr>
      <w:r>
        <w:rPr>
          <w:rFonts w:ascii="Times New Roman" w:hAnsi="Times New Roman" w:eastAsia="宋体" w:cs="Times New Roman"/>
          <w:sz w:val="28"/>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329565</wp:posOffset>
                </wp:positionV>
                <wp:extent cx="5362575" cy="9525"/>
                <wp:effectExtent l="0" t="0" r="0" b="0"/>
                <wp:wrapNone/>
                <wp:docPr id="2" name="直接连接符 2"/>
                <wp:cNvGraphicFramePr/>
                <a:graphic xmlns:a="http://schemas.openxmlformats.org/drawingml/2006/main">
                  <a:graphicData uri="http://schemas.microsoft.com/office/word/2010/wordprocessingShape">
                    <wps:wsp>
                      <wps:cNvSpPr/>
                      <wps:spPr>
                        <a:xfrm flipV="1">
                          <a:off x="0" y="0"/>
                          <a:ext cx="53625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pt;margin-top:25.95pt;height:0.75pt;width:422.25pt;z-index:251661312;mso-width-relative:page;mso-height-relative:page;" filled="f" stroked="t" coordsize="21600,21600" o:gfxdata="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JtBsdcAAAAIAQAADwAAAAAAAAABACAAAAAiAAAAZHJzL2Rvd25yZXYueG1s&#10;UEsBAhQAFAAAAAgAh07iQGY8Rw35AQAA8QMAAA4AAAAAAAAAAQAgAAAAJgEAAGRycy9lMm9Eb2Mu&#10;eG1sUEsFBgAAAAAGAAYAWQEAAJEFAAAAAA==&#10;">
                <v:path arrowok="t"/>
                <v:fill on="f" focussize="0,0"/>
                <v:stroke/>
                <v:imagedata o:title=""/>
                <o:lock v:ext="edit" aspectratio="f"/>
              </v:line>
            </w:pict>
          </mc:Fallback>
        </mc:AlternateContent>
      </w:r>
      <w:r>
        <w:rPr>
          <w:rFonts w:ascii="Times New Roman" w:hAnsi="Times New Roman" w:eastAsia="宋体" w:cs="Times New Roman"/>
          <w:sz w:val="28"/>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29210</wp:posOffset>
                </wp:positionV>
                <wp:extent cx="5362575" cy="9525"/>
                <wp:effectExtent l="0" t="0" r="0" b="0"/>
                <wp:wrapNone/>
                <wp:docPr id="1" name="直接连接符 1"/>
                <wp:cNvGraphicFramePr/>
                <a:graphic xmlns:a="http://schemas.openxmlformats.org/drawingml/2006/main">
                  <a:graphicData uri="http://schemas.microsoft.com/office/word/2010/wordprocessingShape">
                    <wps:wsp>
                      <wps:cNvSpPr/>
                      <wps:spPr>
                        <a:xfrm flipV="1">
                          <a:off x="0" y="0"/>
                          <a:ext cx="53625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pt;margin-top:2.3pt;height:0.75pt;width:422.25pt;z-index:251660288;mso-width-relative:page;mso-height-relative:page;" filled="f" stroked="t" coordsize="21600,21600" o:gfxdata="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jW8aNUAAAAGAQAADwAAAAAAAAABACAAAAAiAAAAZHJzL2Rvd25yZXYueG1sUEsB&#10;AhQAFAAAAAgAh07iQEJd+Mr4AQAA8QMAAA4AAAAAAAAAAQAgAAAAJAEAAGRycy9lMm9Eb2MueG1s&#10;UEsFBgAAAAAGAAYAWQEAAI4FAAAAAA==&#10;">
                <v:path arrowok="t"/>
                <v:fill on="f" focussize="0,0"/>
                <v:stroke/>
                <v:imagedata o:title=""/>
                <o:lock v:ext="edit" aspectratio="f"/>
              </v:line>
            </w:pict>
          </mc:Fallback>
        </mc:AlternateContent>
      </w:r>
      <w:r>
        <w:rPr>
          <w:rFonts w:hint="eastAsia" w:ascii="方正仿宋简体" w:hAnsi="方正仿宋简体" w:eastAsia="方正仿宋简体" w:cs="方正仿宋简体"/>
          <w:sz w:val="28"/>
          <w:szCs w:val="36"/>
          <w:lang w:val="en-US" w:eastAsia="zh-CN"/>
        </w:rPr>
        <w:t>辽宁理工职业大学财务处拟文             2025年9月28日印发</w:t>
      </w:r>
    </w:p>
    <w:p w14:paraId="43BD63DF"/>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35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482F9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E482F9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A70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9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2025-10-21T07:18:47Z</dcterms:created>
  <dc:creator>Administrator</dc:creator>
  <cp:lastModifiedBy>9999999</cp:lastModifiedBy>
  <dcterms:modified xsi:type="dcterms:W3CDTF">2025-10-21T07:20:05Z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eyJoZGlkIjoiZmMzNjdmZjAwZWFjYzA4NjI3NTg1NTVmNmJhNjEyNWQiLCJ1c2VySWQiOiIxNTAwNjI4NTA3In0=</vt:lpwstr>
  </property>
  <property fmtid="{D5CDD505-2E9C-101B-9397-08002B2CF9AE}" pid="4" name="ICV">
    <vt:lpwstr>A43013950D2C4BA3A60558DACD6AEE2F_12</vt:lpwstr>
  </property>
</Properties>
</file>